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D09F" w14:textId="60C25FCE" w:rsidR="00986974" w:rsidRPr="00822B0F" w:rsidRDefault="00771E33" w:rsidP="00986974">
      <w:pPr>
        <w:spacing w:after="120"/>
        <w:ind w:left="1985" w:hanging="1985"/>
        <w:rPr>
          <w:rFonts w:ascii="Arial" w:hAnsi="Arial" w:cs="Arial"/>
          <w:b/>
        </w:rPr>
      </w:pPr>
      <w:r w:rsidRPr="00822B0F">
        <w:rPr>
          <w:rFonts w:ascii="Arial" w:hAnsi="Arial" w:cs="Arial"/>
          <w:b/>
        </w:rPr>
        <w:t>3GPP TSG-RAN WG4 Meeting #</w:t>
      </w:r>
      <w:r w:rsidR="00986974" w:rsidRPr="00822B0F">
        <w:rPr>
          <w:rFonts w:ascii="Arial" w:hAnsi="Arial" w:cs="Arial"/>
          <w:b/>
        </w:rPr>
        <w:t>10</w:t>
      </w:r>
      <w:r w:rsidR="0030321A">
        <w:rPr>
          <w:rFonts w:ascii="Arial" w:hAnsi="Arial" w:cs="Arial"/>
          <w:b/>
        </w:rPr>
        <w:t>2</w:t>
      </w:r>
      <w:r w:rsidR="00986974" w:rsidRPr="00822B0F">
        <w:rPr>
          <w:rFonts w:ascii="Arial" w:hAnsi="Arial" w:cs="Arial"/>
          <w:b/>
        </w:rPr>
        <w:t xml:space="preserve">-e  </w:t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30321A">
        <w:rPr>
          <w:rFonts w:ascii="Arial" w:hAnsi="Arial" w:cs="Arial"/>
          <w:b/>
        </w:rPr>
        <w:tab/>
      </w:r>
      <w:r w:rsidR="0030321A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  <w:t xml:space="preserve">        </w:t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DC5321">
        <w:rPr>
          <w:rFonts w:ascii="Arial" w:hAnsi="Arial" w:cs="Arial"/>
          <w:b/>
        </w:rPr>
        <w:t>R4-220</w:t>
      </w:r>
      <w:r w:rsidR="0030321A">
        <w:rPr>
          <w:rFonts w:ascii="Arial" w:hAnsi="Arial" w:cs="Arial"/>
          <w:b/>
        </w:rPr>
        <w:t>6520</w:t>
      </w:r>
    </w:p>
    <w:p w14:paraId="2E0C0BED" w14:textId="4903A7FE" w:rsidR="00986974" w:rsidRPr="00822B0F" w:rsidRDefault="00986974" w:rsidP="00986974">
      <w:pPr>
        <w:spacing w:after="120"/>
        <w:ind w:left="1985" w:hanging="1985"/>
        <w:rPr>
          <w:rFonts w:ascii="Arial" w:hAnsi="Arial" w:cs="Arial"/>
          <w:b/>
        </w:rPr>
      </w:pPr>
      <w:r w:rsidRPr="00822B0F">
        <w:rPr>
          <w:rFonts w:ascii="Arial" w:hAnsi="Arial" w:cs="Arial"/>
          <w:b/>
        </w:rPr>
        <w:t xml:space="preserve">Electronic Meeting, </w:t>
      </w:r>
      <w:r w:rsidR="0030321A" w:rsidRPr="0030321A">
        <w:rPr>
          <w:rFonts w:ascii="Arial" w:hAnsi="Arial" w:cs="Arial"/>
          <w:b/>
        </w:rPr>
        <w:t>21</w:t>
      </w:r>
      <w:r w:rsidR="0030321A" w:rsidRPr="0030321A">
        <w:rPr>
          <w:rFonts w:ascii="Arial" w:hAnsi="Arial" w:cs="Arial"/>
          <w:b/>
          <w:vertAlign w:val="superscript"/>
        </w:rPr>
        <w:t>st</w:t>
      </w:r>
      <w:r w:rsidR="0030321A">
        <w:rPr>
          <w:rFonts w:ascii="Arial" w:hAnsi="Arial" w:cs="Arial"/>
          <w:b/>
        </w:rPr>
        <w:t xml:space="preserve"> </w:t>
      </w:r>
      <w:r w:rsidR="0030321A" w:rsidRPr="0030321A">
        <w:rPr>
          <w:rFonts w:ascii="Arial" w:hAnsi="Arial" w:cs="Arial"/>
          <w:b/>
        </w:rPr>
        <w:t>Feb</w:t>
      </w:r>
      <w:r w:rsidR="0030321A">
        <w:rPr>
          <w:rFonts w:ascii="Arial" w:hAnsi="Arial" w:cs="Arial"/>
          <w:b/>
        </w:rPr>
        <w:t xml:space="preserve"> </w:t>
      </w:r>
      <w:r w:rsidR="0030321A" w:rsidRPr="0030321A">
        <w:rPr>
          <w:rFonts w:ascii="Arial" w:hAnsi="Arial" w:cs="Arial"/>
          <w:b/>
        </w:rPr>
        <w:t>– 3</w:t>
      </w:r>
      <w:r w:rsidR="0030321A" w:rsidRPr="0030321A">
        <w:rPr>
          <w:rFonts w:ascii="Arial" w:hAnsi="Arial" w:cs="Arial"/>
          <w:b/>
          <w:vertAlign w:val="superscript"/>
        </w:rPr>
        <w:t>rd</w:t>
      </w:r>
      <w:r w:rsidR="0030321A">
        <w:rPr>
          <w:rFonts w:ascii="Arial" w:hAnsi="Arial" w:cs="Arial"/>
          <w:b/>
        </w:rPr>
        <w:t xml:space="preserve"> </w:t>
      </w:r>
      <w:r w:rsidR="0030321A" w:rsidRPr="0030321A">
        <w:rPr>
          <w:rFonts w:ascii="Arial" w:hAnsi="Arial" w:cs="Arial"/>
          <w:b/>
        </w:rPr>
        <w:t>Mar, 2022</w:t>
      </w:r>
    </w:p>
    <w:p w14:paraId="65F55581" w14:textId="77777777" w:rsidR="008A22CF" w:rsidRPr="00822B0F" w:rsidRDefault="008A22CF" w:rsidP="00986974">
      <w:pPr>
        <w:pStyle w:val="3GPPHeader"/>
        <w:tabs>
          <w:tab w:val="left" w:pos="5387"/>
        </w:tabs>
        <w:rPr>
          <w:szCs w:val="21"/>
        </w:rPr>
      </w:pPr>
    </w:p>
    <w:p w14:paraId="72680727" w14:textId="201CAE66" w:rsidR="00986974" w:rsidRDefault="00986974" w:rsidP="009869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 w:rsidR="0030321A">
        <w:rPr>
          <w:rFonts w:ascii="Arial" w:hAnsi="Arial" w:cs="Arial"/>
          <w:color w:val="000000"/>
        </w:rPr>
        <w:t>10</w:t>
      </w:r>
      <w:r w:rsidR="00A50965" w:rsidRPr="00822B0F">
        <w:rPr>
          <w:rFonts w:ascii="Arial" w:hAnsi="Arial" w:cs="Arial"/>
          <w:color w:val="000000"/>
        </w:rPr>
        <w:t>.</w:t>
      </w:r>
      <w:r w:rsidR="006F4367">
        <w:rPr>
          <w:rFonts w:ascii="Arial" w:hAnsi="Arial" w:cs="Arial"/>
          <w:color w:val="000000"/>
        </w:rPr>
        <w:t>9.</w:t>
      </w:r>
      <w:r w:rsidR="0030321A">
        <w:rPr>
          <w:rFonts w:ascii="Arial" w:hAnsi="Arial" w:cs="Arial"/>
          <w:color w:val="000000"/>
        </w:rPr>
        <w:t>2</w:t>
      </w:r>
    </w:p>
    <w:p w14:paraId="1BE751FE" w14:textId="1F545BF2" w:rsidR="00986974" w:rsidRPr="00822B0F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822B0F">
        <w:rPr>
          <w:rFonts w:ascii="Arial" w:eastAsia="MS Mincho" w:hAnsi="Arial" w:cs="Arial"/>
          <w:b/>
        </w:rPr>
        <w:t>Source:</w:t>
      </w:r>
      <w:r w:rsidRPr="00822B0F">
        <w:rPr>
          <w:rFonts w:ascii="Arial" w:eastAsia="MS Mincho" w:hAnsi="Arial" w:cs="Arial"/>
          <w:b/>
        </w:rPr>
        <w:tab/>
      </w:r>
      <w:r w:rsidRPr="00822B0F">
        <w:rPr>
          <w:rFonts w:ascii="Arial" w:hAnsi="Arial" w:cs="Arial"/>
          <w:color w:val="000000"/>
        </w:rPr>
        <w:t>Samsung</w:t>
      </w:r>
    </w:p>
    <w:p w14:paraId="14413A31" w14:textId="6C39507F" w:rsidR="00986974" w:rsidRPr="00822B0F" w:rsidRDefault="00986974" w:rsidP="00986974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 w:rsidRPr="00822B0F">
        <w:rPr>
          <w:rFonts w:ascii="Arial" w:eastAsia="MS Mincho" w:hAnsi="Arial" w:cs="Arial"/>
          <w:b/>
          <w:color w:val="000000"/>
        </w:rPr>
        <w:t>Title:</w:t>
      </w:r>
      <w:r w:rsidRPr="00822B0F">
        <w:rPr>
          <w:rFonts w:ascii="Arial" w:eastAsia="MS Mincho" w:hAnsi="Arial" w:cs="Arial"/>
          <w:b/>
          <w:color w:val="000000"/>
        </w:rPr>
        <w:tab/>
      </w:r>
      <w:r w:rsidR="0030321A" w:rsidRPr="0030321A">
        <w:rPr>
          <w:rFonts w:ascii="Arial" w:hAnsi="Arial" w:cs="Arial"/>
          <w:color w:val="000000"/>
        </w:rPr>
        <w:t>WF on remaining issues for FR2 PC6 for HST Scenarios</w:t>
      </w:r>
    </w:p>
    <w:p w14:paraId="25623721" w14:textId="017C6DFA" w:rsidR="00986974" w:rsidRPr="00822B0F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 w:rsidRPr="00822B0F">
        <w:rPr>
          <w:rFonts w:ascii="Arial" w:eastAsia="MS Mincho" w:hAnsi="Arial" w:cs="Arial"/>
          <w:b/>
          <w:color w:val="000000"/>
        </w:rPr>
        <w:t>Document for:</w:t>
      </w:r>
      <w:r w:rsidRPr="00822B0F">
        <w:rPr>
          <w:rFonts w:ascii="Arial" w:eastAsia="MS Mincho" w:hAnsi="Arial" w:cs="Arial"/>
          <w:b/>
          <w:color w:val="000000"/>
        </w:rPr>
        <w:tab/>
      </w:r>
      <w:r w:rsidRPr="00822B0F">
        <w:rPr>
          <w:rFonts w:ascii="Arial" w:hAnsi="Arial" w:cs="Arial"/>
          <w:color w:val="000000"/>
        </w:rPr>
        <w:t>Approval</w:t>
      </w:r>
    </w:p>
    <w:p w14:paraId="026B88B4" w14:textId="77777777" w:rsidR="00986974" w:rsidRPr="00822B0F" w:rsidRDefault="00986974" w:rsidP="008A22CF">
      <w:pPr>
        <w:pStyle w:val="3GPPHeader"/>
      </w:pPr>
    </w:p>
    <w:p w14:paraId="1DE8240F" w14:textId="17CAE1B4" w:rsidR="009B01F8" w:rsidRPr="00986974" w:rsidRDefault="00986974" w:rsidP="00A50965">
      <w:pPr>
        <w:pStyle w:val="Heading1"/>
        <w:tabs>
          <w:tab w:val="left" w:pos="6617"/>
        </w:tabs>
      </w:pPr>
      <w:r>
        <w:t xml:space="preserve">1 </w:t>
      </w:r>
      <w:r w:rsidR="00771E33">
        <w:t>Background</w:t>
      </w:r>
      <w:r w:rsidR="00E32ACD" w:rsidRPr="00986974">
        <w:t xml:space="preserve">  </w:t>
      </w:r>
    </w:p>
    <w:p w14:paraId="0AF3826D" w14:textId="1A160AD5" w:rsidR="00771E33" w:rsidRPr="00822B0F" w:rsidRDefault="00DC5321" w:rsidP="00771E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WF is focused </w:t>
      </w:r>
      <w:r w:rsidR="006F4367">
        <w:rPr>
          <w:rFonts w:ascii="Times New Roman" w:hAnsi="Times New Roman" w:cs="Times New Roman"/>
        </w:rPr>
        <w:t xml:space="preserve">UE RF requirement </w:t>
      </w:r>
      <w:r>
        <w:rPr>
          <w:rFonts w:ascii="Times New Roman" w:hAnsi="Times New Roman" w:cs="Times New Roman"/>
        </w:rPr>
        <w:t xml:space="preserve">on </w:t>
      </w:r>
      <w:r w:rsidRPr="00DC5321">
        <w:rPr>
          <w:rFonts w:ascii="Times New Roman" w:hAnsi="Times New Roman" w:cs="Times New Roman"/>
        </w:rPr>
        <w:t xml:space="preserve">the topic of Rel-17 </w:t>
      </w:r>
      <w:r w:rsidR="006F4367" w:rsidRPr="006F4367">
        <w:rPr>
          <w:rFonts w:ascii="Times New Roman" w:hAnsi="Times New Roman" w:cs="Times New Roman"/>
        </w:rPr>
        <w:t>NR support for high speed train (HST) scenario in FR2</w:t>
      </w:r>
      <w:r w:rsidR="00891DE6">
        <w:rPr>
          <w:rFonts w:ascii="Times New Roman" w:hAnsi="Times New Roman" w:cs="Times New Roman"/>
        </w:rPr>
        <w:t xml:space="preserve"> (AI </w:t>
      </w:r>
      <w:r w:rsidR="0030321A">
        <w:rPr>
          <w:rFonts w:ascii="Times New Roman" w:hAnsi="Times New Roman" w:cs="Times New Roman"/>
        </w:rPr>
        <w:t>10</w:t>
      </w:r>
      <w:r w:rsidR="00891DE6">
        <w:rPr>
          <w:rFonts w:ascii="Times New Roman" w:hAnsi="Times New Roman" w:cs="Times New Roman"/>
        </w:rPr>
        <w:t>.9.</w:t>
      </w:r>
      <w:r w:rsidR="0030321A">
        <w:rPr>
          <w:rFonts w:ascii="Times New Roman" w:hAnsi="Times New Roman" w:cs="Times New Roman"/>
        </w:rPr>
        <w:t>2</w:t>
      </w:r>
      <w:r w:rsidRPr="00DC5321">
        <w:rPr>
          <w:rFonts w:ascii="Times New Roman" w:hAnsi="Times New Roman" w:cs="Times New Roman"/>
        </w:rPr>
        <w:t>) in RAN4 #10</w:t>
      </w:r>
      <w:r w:rsidR="0030321A">
        <w:rPr>
          <w:rFonts w:ascii="Times New Roman" w:hAnsi="Times New Roman" w:cs="Times New Roman"/>
        </w:rPr>
        <w:t>2</w:t>
      </w:r>
      <w:r w:rsidR="00891DE6">
        <w:rPr>
          <w:rFonts w:ascii="Times New Roman" w:hAnsi="Times New Roman" w:cs="Times New Roman"/>
        </w:rPr>
        <w:t>-e</w:t>
      </w:r>
      <w:r w:rsidRPr="00DC5321">
        <w:rPr>
          <w:rFonts w:ascii="Times New Roman" w:hAnsi="Times New Roman" w:cs="Times New Roman"/>
        </w:rPr>
        <w:t>, with the email thread identifier “[10</w:t>
      </w:r>
      <w:r w:rsidR="0030321A">
        <w:rPr>
          <w:rFonts w:ascii="Times New Roman" w:hAnsi="Times New Roman" w:cs="Times New Roman"/>
        </w:rPr>
        <w:t>2</w:t>
      </w:r>
      <w:r w:rsidR="00891DE6">
        <w:rPr>
          <w:rFonts w:ascii="Times New Roman" w:hAnsi="Times New Roman" w:cs="Times New Roman"/>
        </w:rPr>
        <w:t>-e][12</w:t>
      </w:r>
      <w:r w:rsidR="0030321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] </w:t>
      </w:r>
      <w:r w:rsidR="00891DE6" w:rsidRPr="00891DE6">
        <w:rPr>
          <w:rFonts w:ascii="Times New Roman" w:hAnsi="Times New Roman" w:cs="Times New Roman"/>
        </w:rPr>
        <w:t>NR_HST_FR2</w:t>
      </w:r>
      <w:r>
        <w:rPr>
          <w:rFonts w:ascii="Times New Roman" w:hAnsi="Times New Roman" w:cs="Times New Roman"/>
        </w:rPr>
        <w:t xml:space="preserve">”. </w:t>
      </w:r>
      <w:r w:rsidR="0030321A" w:rsidRPr="0030321A">
        <w:rPr>
          <w:rFonts w:ascii="Times New Roman" w:hAnsi="Times New Roman" w:cs="Times New Roman" w:hint="eastAsia"/>
        </w:rPr>
        <w:t>In</w:t>
      </w:r>
      <w:r w:rsidR="0030321A">
        <w:rPr>
          <w:rFonts w:ascii="Times New Roman" w:hAnsi="Times New Roman" w:cs="Times New Roman"/>
        </w:rPr>
        <w:t xml:space="preserve"> this WF, the relevant GTW agreements (achieved in 22</w:t>
      </w:r>
      <w:r w:rsidR="0030321A" w:rsidRPr="0030321A">
        <w:rPr>
          <w:rFonts w:ascii="Times New Roman" w:hAnsi="Times New Roman" w:cs="Times New Roman"/>
          <w:vertAlign w:val="superscript"/>
        </w:rPr>
        <w:t>nd</w:t>
      </w:r>
      <w:r w:rsidR="0030321A">
        <w:rPr>
          <w:rFonts w:ascii="Times New Roman" w:hAnsi="Times New Roman" w:cs="Times New Roman"/>
        </w:rPr>
        <w:t xml:space="preserve"> Feb GTW) are captured. </w:t>
      </w:r>
      <w:r>
        <w:rPr>
          <w:rFonts w:ascii="Times New Roman" w:hAnsi="Times New Roman" w:cs="Times New Roman"/>
        </w:rPr>
        <w:t xml:space="preserve"> </w:t>
      </w:r>
      <w:r w:rsidR="00771E33" w:rsidRPr="00822B0F">
        <w:rPr>
          <w:rFonts w:ascii="Times New Roman" w:hAnsi="Times New Roman" w:cs="Times New Roman"/>
        </w:rPr>
        <w:t xml:space="preserve">  </w:t>
      </w:r>
    </w:p>
    <w:p w14:paraId="4E4D5CFE" w14:textId="71972CC0" w:rsidR="00771E33" w:rsidRPr="00986974" w:rsidRDefault="00771E33" w:rsidP="00771E33">
      <w:pPr>
        <w:pStyle w:val="Heading1"/>
        <w:tabs>
          <w:tab w:val="left" w:pos="6617"/>
        </w:tabs>
      </w:pPr>
      <w:r>
        <w:t xml:space="preserve">2 </w:t>
      </w:r>
      <w:r w:rsidR="003A3AD1">
        <w:t>Way Forward</w:t>
      </w:r>
      <w:r w:rsidRPr="00986974">
        <w:t xml:space="preserve">  </w:t>
      </w:r>
      <w:r>
        <w:tab/>
      </w:r>
    </w:p>
    <w:p w14:paraId="5F55CDED" w14:textId="77777777" w:rsidR="0030321A" w:rsidRPr="0030321A" w:rsidRDefault="0030321A" w:rsidP="0030321A">
      <w:pPr>
        <w:rPr>
          <w:rFonts w:ascii="Times New Roman" w:hAnsi="Times New Roman" w:cs="Times New Roman"/>
          <w:b/>
          <w:u w:val="single"/>
          <w:lang w:eastAsia="ko-KR"/>
        </w:rPr>
      </w:pPr>
      <w:r w:rsidRPr="0030321A">
        <w:rPr>
          <w:rFonts w:ascii="Times New Roman" w:hAnsi="Times New Roman" w:cs="Times New Roman"/>
          <w:b/>
          <w:u w:val="single"/>
          <w:lang w:eastAsia="ko-KR"/>
        </w:rPr>
        <w:t>Issue 2-1-1: Spherical coverage requirement – Confirm coverage region and x%-tile</w:t>
      </w:r>
    </w:p>
    <w:p w14:paraId="5DD18B16" w14:textId="77777777" w:rsidR="0030321A" w:rsidRPr="0030321A" w:rsidRDefault="0030321A" w:rsidP="0030321A">
      <w:pPr>
        <w:rPr>
          <w:rFonts w:ascii="Times New Roman" w:hAnsi="Times New Roman" w:cs="Times New Roman"/>
        </w:rPr>
      </w:pPr>
      <w:r w:rsidRPr="0030321A">
        <w:rPr>
          <w:rFonts w:ascii="Times New Roman" w:hAnsi="Times New Roman" w:cs="Times New Roman"/>
          <w:b/>
          <w:highlight w:val="green"/>
        </w:rPr>
        <w:t>Agreement:</w:t>
      </w:r>
      <w:r w:rsidRPr="0030321A">
        <w:rPr>
          <w:rFonts w:ascii="Times New Roman" w:hAnsi="Times New Roman" w:cs="Times New Roman"/>
          <w:highlight w:val="green"/>
        </w:rPr>
        <w:t xml:space="preserve"> Agree on the following table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2"/>
        <w:gridCol w:w="2230"/>
        <w:gridCol w:w="3671"/>
      </w:tblGrid>
      <w:tr w:rsidR="0030321A" w:rsidRPr="0030321A" w14:paraId="1B3C3DD9" w14:textId="77777777" w:rsidTr="002679B1">
        <w:trPr>
          <w:trHeight w:val="20"/>
          <w:jc w:val="center"/>
        </w:trPr>
        <w:tc>
          <w:tcPr>
            <w:tcW w:w="2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1B757" w14:textId="77777777" w:rsidR="0030321A" w:rsidRPr="0030321A" w:rsidRDefault="0030321A" w:rsidP="0030321A">
            <w:pPr>
              <w:pStyle w:val="TAH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</w:p>
        </w:tc>
        <w:tc>
          <w:tcPr>
            <w:tcW w:w="2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3511B" w14:textId="77777777" w:rsidR="0030321A" w:rsidRPr="0030321A" w:rsidRDefault="0030321A" w:rsidP="0030321A">
            <w:pPr>
              <w:pStyle w:val="TAH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θ range (degree)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B641B" w14:textId="77777777" w:rsidR="0030321A" w:rsidRPr="0030321A" w:rsidRDefault="0030321A" w:rsidP="0030321A">
            <w:pPr>
              <w:pStyle w:val="TAH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ϕ range (degree)</w:t>
            </w:r>
          </w:p>
        </w:tc>
      </w:tr>
      <w:tr w:rsidR="0030321A" w:rsidRPr="0030321A" w14:paraId="22A325C2" w14:textId="77777777" w:rsidTr="002679B1">
        <w:trPr>
          <w:trHeight w:val="20"/>
          <w:jc w:val="center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D5FBB" w14:textId="77777777" w:rsidR="0030321A" w:rsidRPr="0030321A" w:rsidRDefault="0030321A" w:rsidP="0030321A">
            <w:pPr>
              <w:pStyle w:val="TAC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Area-1</w:t>
            </w:r>
          </w:p>
        </w:tc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E8817" w14:textId="77777777" w:rsidR="0030321A" w:rsidRPr="0030321A" w:rsidRDefault="0030321A" w:rsidP="0030321A">
            <w:pPr>
              <w:pStyle w:val="TAC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90 to 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9745" w14:textId="77777777" w:rsidR="0030321A" w:rsidRPr="0030321A" w:rsidRDefault="0030321A" w:rsidP="0030321A">
            <w:pPr>
              <w:pStyle w:val="TAC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-37.5 to + 37.5</w:t>
            </w:r>
          </w:p>
        </w:tc>
      </w:tr>
      <w:tr w:rsidR="0030321A" w:rsidRPr="0030321A" w14:paraId="20FD9D7C" w14:textId="77777777" w:rsidTr="002679B1">
        <w:trPr>
          <w:trHeight w:val="20"/>
          <w:jc w:val="center"/>
        </w:trPr>
        <w:tc>
          <w:tcPr>
            <w:tcW w:w="2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C4855" w14:textId="77777777" w:rsidR="0030321A" w:rsidRPr="0030321A" w:rsidRDefault="0030321A" w:rsidP="0030321A">
            <w:pPr>
              <w:pStyle w:val="TAC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Area-2</w:t>
            </w:r>
          </w:p>
        </w:tc>
        <w:tc>
          <w:tcPr>
            <w:tcW w:w="2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E24E" w14:textId="77777777" w:rsidR="0030321A" w:rsidRPr="0030321A" w:rsidRDefault="0030321A" w:rsidP="0030321A">
            <w:pPr>
              <w:pStyle w:val="TAC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90 to 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CD17" w14:textId="77777777" w:rsidR="0030321A" w:rsidRPr="0030321A" w:rsidRDefault="0030321A" w:rsidP="0030321A">
            <w:pPr>
              <w:pStyle w:val="TAC"/>
              <w:spacing w:after="0"/>
              <w:rPr>
                <w:rFonts w:ascii="Times New Roman" w:hAnsi="Times New Roman" w:cs="Times New Roman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Cs w:val="18"/>
                <w:highlight w:val="green"/>
              </w:rPr>
              <w:t>142.5 to 217.5</w:t>
            </w:r>
          </w:p>
        </w:tc>
      </w:tr>
      <w:tr w:rsidR="0030321A" w:rsidRPr="0030321A" w14:paraId="49691A1C" w14:textId="77777777" w:rsidTr="002679B1">
        <w:trPr>
          <w:trHeight w:val="20"/>
          <w:jc w:val="center"/>
        </w:trPr>
        <w:tc>
          <w:tcPr>
            <w:tcW w:w="811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F6561" w14:textId="77777777" w:rsidR="0030321A" w:rsidRPr="0030321A" w:rsidRDefault="0030321A" w:rsidP="0030321A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30321A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NOTE 1: When testing power class 6 UEs, DUT orientation can be determined according to the UE spherical coverage evaluation areas, not necessarily following default alignment in Figure J.1-2 or positioning guidelines in clause J.3.</w:t>
            </w:r>
          </w:p>
          <w:p w14:paraId="64311114" w14:textId="77777777" w:rsidR="0030321A" w:rsidRPr="0030321A" w:rsidRDefault="0030321A" w:rsidP="003032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321A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NOTE 2: High speed train deployment is expected to be w.r.t. the reference coordination system: θ = 90 (degree) corresponds to the ground plane the train is running on, and ϕ= 0 or 180 with θ = 90 are the train track directions.</w:t>
            </w:r>
          </w:p>
        </w:tc>
      </w:tr>
    </w:tbl>
    <w:p w14:paraId="753C00E0" w14:textId="77777777" w:rsidR="00B63113" w:rsidRPr="00454D35" w:rsidRDefault="00B63113" w:rsidP="00B63113">
      <w:pPr>
        <w:pStyle w:val="ListParagraph"/>
        <w:spacing w:after="120"/>
        <w:ind w:left="860"/>
        <w:rPr>
          <w:rFonts w:ascii="Times New Roman" w:hAnsi="Times New Roman" w:cs="Times New Roman"/>
          <w:szCs w:val="24"/>
        </w:rPr>
      </w:pPr>
    </w:p>
    <w:p w14:paraId="3E73A2DE" w14:textId="77777777" w:rsidR="00B63113" w:rsidRDefault="00B63113" w:rsidP="006C2B97">
      <w:pPr>
        <w:pStyle w:val="ListParagraph"/>
        <w:tabs>
          <w:tab w:val="left" w:pos="720"/>
        </w:tabs>
        <w:spacing w:after="120"/>
        <w:ind w:left="1580"/>
        <w:rPr>
          <w:rFonts w:ascii="Times New Roman" w:eastAsia="宋体" w:hAnsi="Times New Roman" w:cs="Times New Roman"/>
          <w:szCs w:val="24"/>
        </w:rPr>
      </w:pPr>
    </w:p>
    <w:p w14:paraId="22903792" w14:textId="77777777" w:rsidR="0030321A" w:rsidRPr="00726B84" w:rsidRDefault="0030321A" w:rsidP="00726B84">
      <w:pPr>
        <w:rPr>
          <w:rFonts w:ascii="Times New Roman" w:hAnsi="Times New Roman" w:cs="Times New Roman"/>
          <w:b/>
          <w:u w:val="single"/>
          <w:lang w:eastAsia="ko-KR"/>
        </w:rPr>
      </w:pPr>
      <w:r w:rsidRPr="0030321A">
        <w:rPr>
          <w:rFonts w:ascii="Times New Roman" w:hAnsi="Times New Roman" w:cs="Times New Roman"/>
          <w:b/>
          <w:u w:val="single"/>
          <w:lang w:eastAsia="ko-KR"/>
        </w:rPr>
        <w:t>Issue 2-1-2: Spherical coverage requirement - EIRP drop from min. Peak EIRP</w:t>
      </w:r>
    </w:p>
    <w:p w14:paraId="55A3AB46" w14:textId="77777777" w:rsidR="00726B84" w:rsidRPr="00726B84" w:rsidRDefault="00726B84" w:rsidP="00726B84">
      <w:pPr>
        <w:rPr>
          <w:rFonts w:ascii="Times New Roman" w:hAnsi="Times New Roman" w:cs="Times New Roman"/>
          <w:highlight w:val="green"/>
        </w:rPr>
      </w:pPr>
      <w:r w:rsidRPr="00726B84">
        <w:rPr>
          <w:rFonts w:ascii="Times New Roman" w:hAnsi="Times New Roman" w:cs="Times New Roman"/>
          <w:b/>
          <w:highlight w:val="green"/>
        </w:rPr>
        <w:t xml:space="preserve">Agreement: </w:t>
      </w:r>
      <w:r w:rsidRPr="00726B84">
        <w:rPr>
          <w:rFonts w:ascii="Times New Roman" w:hAnsi="Times New Roman" w:cs="Times New Roman"/>
          <w:highlight w:val="green"/>
        </w:rPr>
        <w:t>For EIRP drop (i.e., x dB lower than min. Peak EIRP requirement), agree 10dB.</w:t>
      </w:r>
    </w:p>
    <w:p w14:paraId="127A3ECE" w14:textId="77777777" w:rsidR="00B63113" w:rsidRPr="00726B84" w:rsidRDefault="00B63113" w:rsidP="00726B84">
      <w:pPr>
        <w:tabs>
          <w:tab w:val="left" w:pos="720"/>
        </w:tabs>
        <w:spacing w:after="120"/>
        <w:rPr>
          <w:rFonts w:ascii="Times New Roman" w:eastAsia="宋体" w:hAnsi="Times New Roman" w:cs="Times New Roman"/>
          <w:szCs w:val="24"/>
        </w:rPr>
      </w:pPr>
    </w:p>
    <w:p w14:paraId="00FF5109" w14:textId="77777777" w:rsidR="00005812" w:rsidRDefault="00005812" w:rsidP="006C2B97">
      <w:pPr>
        <w:pStyle w:val="ListParagraph"/>
        <w:tabs>
          <w:tab w:val="left" w:pos="720"/>
        </w:tabs>
        <w:spacing w:after="120"/>
        <w:ind w:left="1580"/>
        <w:rPr>
          <w:rFonts w:ascii="Times New Roman" w:eastAsia="宋体" w:hAnsi="Times New Roman" w:cs="Times New Roman"/>
          <w:szCs w:val="24"/>
        </w:rPr>
      </w:pPr>
    </w:p>
    <w:p w14:paraId="7108D152" w14:textId="77777777" w:rsidR="00726B84" w:rsidRDefault="00726B84" w:rsidP="00726B84">
      <w:pPr>
        <w:rPr>
          <w:rFonts w:ascii="Times New Roman" w:hAnsi="Times New Roman" w:cs="Times New Roman"/>
          <w:b/>
          <w:u w:val="single"/>
          <w:lang w:eastAsia="ko-KR"/>
        </w:rPr>
      </w:pPr>
      <w:r w:rsidRPr="00726B84">
        <w:rPr>
          <w:rFonts w:ascii="Times New Roman" w:hAnsi="Times New Roman" w:cs="Times New Roman"/>
          <w:b/>
          <w:u w:val="single"/>
          <w:lang w:eastAsia="ko-KR"/>
        </w:rPr>
        <w:t>Issue 2-2-1: UE TX minimum output power and transmit signal quality</w:t>
      </w:r>
    </w:p>
    <w:p w14:paraId="43354D9E" w14:textId="77777777" w:rsidR="00726B84" w:rsidRPr="00726B84" w:rsidRDefault="00726B84" w:rsidP="00726B84">
      <w:pPr>
        <w:rPr>
          <w:rFonts w:ascii="Times New Roman" w:hAnsi="Times New Roman" w:cs="Times New Roman"/>
          <w:highlight w:val="green"/>
        </w:rPr>
      </w:pPr>
      <w:r w:rsidRPr="00726B84">
        <w:rPr>
          <w:rFonts w:ascii="Times New Roman" w:hAnsi="Times New Roman" w:cs="Times New Roman"/>
          <w:b/>
          <w:highlight w:val="green"/>
        </w:rPr>
        <w:t>Agreement:</w:t>
      </w:r>
      <w:r w:rsidRPr="00726B84">
        <w:rPr>
          <w:rFonts w:ascii="Times New Roman" w:hAnsi="Times New Roman" w:cs="Times New Roman"/>
          <w:highlight w:val="green"/>
        </w:rPr>
        <w:t xml:space="preserve"> For FR2 PC6 UE, RAN4 adopt the same requirement as FR2 PC5 UE for: </w:t>
      </w:r>
    </w:p>
    <w:p w14:paraId="6EEF834F" w14:textId="77777777" w:rsidR="00726B84" w:rsidRPr="00726B84" w:rsidRDefault="00726B84" w:rsidP="00726B84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Cs w:val="20"/>
          <w:highlight w:val="green"/>
        </w:rPr>
      </w:pPr>
      <w:r w:rsidRPr="00726B84">
        <w:rPr>
          <w:rFonts w:ascii="Times New Roman" w:hAnsi="Times New Roman" w:cs="Times New Roman"/>
          <w:szCs w:val="20"/>
          <w:highlight w:val="green"/>
        </w:rPr>
        <w:t xml:space="preserve">Minimum output power, and </w:t>
      </w:r>
    </w:p>
    <w:p w14:paraId="758D5087" w14:textId="77777777" w:rsidR="00726B84" w:rsidRPr="00726B84" w:rsidRDefault="00726B84" w:rsidP="00726B84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Cs w:val="20"/>
          <w:highlight w:val="green"/>
        </w:rPr>
      </w:pPr>
      <w:r w:rsidRPr="00726B84">
        <w:rPr>
          <w:rFonts w:ascii="Times New Roman" w:hAnsi="Times New Roman" w:cs="Times New Roman"/>
          <w:szCs w:val="20"/>
          <w:highlight w:val="green"/>
        </w:rPr>
        <w:t>Transmit signal quality.</w:t>
      </w:r>
    </w:p>
    <w:p w14:paraId="6BC2ABE2" w14:textId="77777777" w:rsidR="00726B84" w:rsidRDefault="00726B84" w:rsidP="00726B84">
      <w:pPr>
        <w:rPr>
          <w:rFonts w:ascii="Times New Roman" w:hAnsi="Times New Roman" w:cs="Times New Roman"/>
          <w:b/>
          <w:u w:val="single"/>
          <w:lang w:eastAsia="ko-KR"/>
        </w:rPr>
      </w:pPr>
    </w:p>
    <w:p w14:paraId="319C0BDA" w14:textId="77777777" w:rsidR="00726B84" w:rsidRPr="00726B84" w:rsidRDefault="00726B84" w:rsidP="00726B84">
      <w:pPr>
        <w:rPr>
          <w:rFonts w:ascii="Times New Roman" w:hAnsi="Times New Roman" w:cs="Times New Roman"/>
          <w:b/>
          <w:u w:val="single"/>
          <w:lang w:eastAsia="ko-KR"/>
        </w:rPr>
      </w:pPr>
      <w:r w:rsidRPr="00726B84">
        <w:rPr>
          <w:rFonts w:ascii="Times New Roman" w:hAnsi="Times New Roman" w:cs="Times New Roman"/>
          <w:b/>
          <w:u w:val="single"/>
          <w:lang w:eastAsia="ko-KR"/>
        </w:rPr>
        <w:t>Issue 2-2-2: UE TX requirement for UL-MIMO</w:t>
      </w:r>
    </w:p>
    <w:p w14:paraId="184A4785" w14:textId="77777777" w:rsidR="00726B84" w:rsidRPr="00726B84" w:rsidRDefault="00726B84" w:rsidP="00726B84">
      <w:pPr>
        <w:rPr>
          <w:rFonts w:ascii="Times New Roman" w:hAnsi="Times New Roman" w:cs="Times New Roman"/>
          <w:highlight w:val="green"/>
        </w:rPr>
      </w:pPr>
      <w:r w:rsidRPr="00726B84">
        <w:rPr>
          <w:rFonts w:ascii="Times New Roman" w:hAnsi="Times New Roman" w:cs="Times New Roman"/>
          <w:b/>
          <w:highlight w:val="green"/>
        </w:rPr>
        <w:lastRenderedPageBreak/>
        <w:t xml:space="preserve">Agreement: </w:t>
      </w:r>
      <w:r w:rsidRPr="00726B84">
        <w:rPr>
          <w:rFonts w:ascii="Times New Roman" w:hAnsi="Times New Roman" w:cs="Times New Roman"/>
          <w:highlight w:val="green"/>
        </w:rPr>
        <w:t>Similar to other power classes, RAN4 define UL-MIMO TX requirements for FR2 PC6 UE, by following the same requirement as PC6 single TX port requirement numerically.</w:t>
      </w:r>
    </w:p>
    <w:p w14:paraId="6AB80B72" w14:textId="77777777" w:rsidR="00726B84" w:rsidRDefault="00726B84" w:rsidP="00726B84">
      <w:pPr>
        <w:rPr>
          <w:rFonts w:ascii="Times New Roman" w:hAnsi="Times New Roman" w:cs="Times New Roman"/>
          <w:b/>
          <w:u w:val="single"/>
          <w:lang w:eastAsia="ko-KR"/>
        </w:rPr>
      </w:pPr>
    </w:p>
    <w:p w14:paraId="57706584" w14:textId="77777777" w:rsidR="00726B84" w:rsidRPr="00726B84" w:rsidRDefault="00726B84" w:rsidP="00726B84">
      <w:pPr>
        <w:rPr>
          <w:rFonts w:ascii="Times New Roman" w:hAnsi="Times New Roman" w:cs="Times New Roman"/>
          <w:b/>
          <w:u w:val="single"/>
          <w:lang w:eastAsia="ko-KR"/>
        </w:rPr>
      </w:pPr>
      <w:r w:rsidRPr="00726B84">
        <w:rPr>
          <w:rFonts w:ascii="Times New Roman" w:hAnsi="Times New Roman" w:cs="Times New Roman"/>
          <w:b/>
          <w:u w:val="single"/>
          <w:lang w:eastAsia="ko-KR"/>
        </w:rPr>
        <w:t>Issue 2-3-1: EIS Spherical Coverage requirements</w:t>
      </w:r>
    </w:p>
    <w:p w14:paraId="701ED313" w14:textId="77777777" w:rsidR="00726B84" w:rsidRPr="00726B84" w:rsidRDefault="00726B84" w:rsidP="00726B84">
      <w:pPr>
        <w:rPr>
          <w:rFonts w:ascii="Times New Roman" w:hAnsi="Times New Roman" w:cs="Times New Roman"/>
          <w:highlight w:val="green"/>
        </w:rPr>
      </w:pPr>
      <w:r w:rsidRPr="00726B84">
        <w:rPr>
          <w:rFonts w:ascii="Times New Roman" w:hAnsi="Times New Roman" w:cs="Times New Roman"/>
          <w:b/>
          <w:highlight w:val="green"/>
        </w:rPr>
        <w:t>Agreement:</w:t>
      </w:r>
      <w:r w:rsidRPr="00726B84">
        <w:rPr>
          <w:rFonts w:ascii="Times New Roman" w:hAnsi="Times New Roman" w:cs="Times New Roman"/>
          <w:highlight w:val="green"/>
        </w:rPr>
        <w:t xml:space="preserve"> the text in the follow table is agreeable but the numbers in the table will be updated based on the agreements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801"/>
      </w:tblGrid>
      <w:tr w:rsidR="00726B84" w:rsidRPr="00BF089E" w14:paraId="77D1D3A4" w14:textId="77777777" w:rsidTr="002679B1">
        <w:tc>
          <w:tcPr>
            <w:tcW w:w="8801" w:type="dxa"/>
          </w:tcPr>
          <w:p w14:paraId="699479BC" w14:textId="77777777" w:rsidR="00726B84" w:rsidRPr="00BF089E" w:rsidRDefault="00726B84" w:rsidP="002679B1">
            <w:pPr>
              <w:keepNext/>
              <w:keepLines/>
              <w:spacing w:after="0" w:line="240" w:lineRule="auto"/>
              <w:ind w:left="1418" w:hanging="1418"/>
              <w:outlineLvl w:val="3"/>
              <w:rPr>
                <w:rFonts w:ascii="Times New Roman" w:eastAsia="Malgun Gothic" w:hAnsi="Times New Roman" w:cs="Times New Roman"/>
                <w:sz w:val="20"/>
                <w:lang w:eastAsia="en-US"/>
              </w:rPr>
            </w:pP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>7.3.4.6</w:t>
            </w: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ab/>
              <w:t>EIS spherical coverage for power class 6</w:t>
            </w:r>
          </w:p>
          <w:p w14:paraId="000F08A1" w14:textId="77777777" w:rsidR="00726B84" w:rsidRPr="00BF089E" w:rsidRDefault="00726B84" w:rsidP="002679B1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en-US"/>
              </w:rPr>
            </w:pP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>The reference measurement channels and throughput criterion shall be as specified in clause 7.3.2.6</w:t>
            </w:r>
          </w:p>
          <w:p w14:paraId="5BCAA81B" w14:textId="77777777" w:rsidR="00726B84" w:rsidRPr="00BF089E" w:rsidRDefault="00726B84" w:rsidP="002679B1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en-US"/>
              </w:rPr>
            </w:pP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 xml:space="preserve">The maximum EIS measured </w:t>
            </w:r>
            <w:r w:rsidRPr="00BF089E">
              <w:rPr>
                <w:rFonts w:ascii="Times New Roman" w:eastAsia="MS Mincho" w:hAnsi="Times New Roman" w:cs="Times New Roman"/>
                <w:sz w:val="20"/>
                <w:lang w:eastAsia="en-US"/>
              </w:rPr>
              <w:t>over the spherical coverage evaluation areas</w:t>
            </w: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 xml:space="preserve"> is defined as the spherical coverage requirement and is found in Table 7.3.4.6-1 below. </w:t>
            </w:r>
            <w:r w:rsidRPr="00BF089E">
              <w:rPr>
                <w:rFonts w:ascii="Times New Roman" w:eastAsia="MS Mincho" w:hAnsi="Times New Roman" w:cs="Times New Roman"/>
                <w:sz w:val="20"/>
                <w:lang w:eastAsia="en-US"/>
              </w:rPr>
              <w:t xml:space="preserve">UE spherical coverage evaluation areas are found in Table 6.2.1.6-3a in clause 6.2.1.6, by consisting of Area-1 and Area-2, in the reference coordinate system in Annex J.1. </w:t>
            </w: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 xml:space="preserve">The requirement is verified with the test metric of EIS (Link=Spherical coverage grid, </w:t>
            </w:r>
            <w:proofErr w:type="spellStart"/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>Meas</w:t>
            </w:r>
            <w:proofErr w:type="spellEnd"/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>=Link angle).</w:t>
            </w:r>
          </w:p>
          <w:p w14:paraId="08A006AE" w14:textId="77777777" w:rsidR="00726B84" w:rsidRPr="00BF089E" w:rsidRDefault="00726B84" w:rsidP="002679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lang w:eastAsia="en-US"/>
              </w:rPr>
            </w:pPr>
            <w:r w:rsidRPr="00BF089E">
              <w:rPr>
                <w:rFonts w:ascii="Times New Roman" w:hAnsi="Times New Roman" w:cs="Times New Roman"/>
                <w:b/>
                <w:sz w:val="20"/>
                <w:lang w:eastAsia="en-US"/>
              </w:rPr>
              <w:t>Table 7.3.4.6-1: EIS spherical coverage for power class 6</w:t>
            </w:r>
          </w:p>
          <w:tbl>
            <w:tblPr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33"/>
              <w:gridCol w:w="1408"/>
              <w:gridCol w:w="1805"/>
              <w:gridCol w:w="1281"/>
              <w:gridCol w:w="1440"/>
            </w:tblGrid>
            <w:tr w:rsidR="00726B84" w:rsidRPr="00BF089E" w14:paraId="4E687BBE" w14:textId="77777777" w:rsidTr="002679B1">
              <w:tc>
                <w:tcPr>
                  <w:tcW w:w="1710" w:type="dxa"/>
                  <w:vMerge w:val="restart"/>
                  <w:shd w:val="clear" w:color="auto" w:fill="auto"/>
                </w:tcPr>
                <w:p w14:paraId="7E2CED6A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Operating band</w:t>
                  </w:r>
                </w:p>
              </w:tc>
              <w:tc>
                <w:tcPr>
                  <w:tcW w:w="6413" w:type="dxa"/>
                  <w:gridSpan w:val="4"/>
                  <w:shd w:val="clear" w:color="auto" w:fill="auto"/>
                  <w:vAlign w:val="center"/>
                </w:tcPr>
                <w:p w14:paraId="1C9D0228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Max EIS over UE spherical coverage evaluation areas (</w:t>
                  </w:r>
                  <w:proofErr w:type="spellStart"/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dBm</w:t>
                  </w:r>
                  <w:proofErr w:type="spellEnd"/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) / Channel bandwidth</w:t>
                  </w:r>
                </w:p>
              </w:tc>
            </w:tr>
            <w:tr w:rsidR="00726B84" w:rsidRPr="00BF089E" w14:paraId="57D6D4E0" w14:textId="77777777" w:rsidTr="002679B1">
              <w:tc>
                <w:tcPr>
                  <w:tcW w:w="1710" w:type="dxa"/>
                  <w:vMerge/>
                  <w:shd w:val="clear" w:color="auto" w:fill="auto"/>
                </w:tcPr>
                <w:p w14:paraId="195FFF3E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</w:p>
              </w:tc>
              <w:tc>
                <w:tcPr>
                  <w:tcW w:w="1517" w:type="dxa"/>
                  <w:shd w:val="clear" w:color="auto" w:fill="auto"/>
                  <w:vAlign w:val="center"/>
                </w:tcPr>
                <w:p w14:paraId="12CFB17D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50 MHz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44D8B238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100 MHz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4839F5D2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200 MHz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14:paraId="72984D35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b/>
                      <w:sz w:val="20"/>
                      <w:lang w:eastAsia="en-US"/>
                    </w:rPr>
                    <w:t>400 MHz</w:t>
                  </w:r>
                </w:p>
              </w:tc>
            </w:tr>
            <w:tr w:rsidR="00726B84" w:rsidRPr="00BF089E" w14:paraId="3A261418" w14:textId="77777777" w:rsidTr="002679B1">
              <w:tc>
                <w:tcPr>
                  <w:tcW w:w="1710" w:type="dxa"/>
                  <w:shd w:val="clear" w:color="auto" w:fill="auto"/>
                </w:tcPr>
                <w:p w14:paraId="67B1817F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n257</w:t>
                  </w:r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1FC1C319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[-80.6]</w:t>
                  </w:r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67666761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[-77.6]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5E98D126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[-74.6]</w:t>
                  </w:r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279C81A3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[-71.6]</w:t>
                  </w:r>
                </w:p>
              </w:tc>
            </w:tr>
            <w:tr w:rsidR="00726B84" w:rsidRPr="00BF089E" w14:paraId="51DA0CB6" w14:textId="77777777" w:rsidTr="002679B1">
              <w:tc>
                <w:tcPr>
                  <w:tcW w:w="1710" w:type="dxa"/>
                  <w:shd w:val="clear" w:color="auto" w:fill="auto"/>
                </w:tcPr>
                <w:p w14:paraId="61DDBA4D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n258</w:t>
                  </w:r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12411728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[-80.8]</w:t>
                  </w:r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662224AF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[-77.8]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46E62E88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[-74.8]</w:t>
                  </w:r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0793F2E6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[-71.8]</w:t>
                  </w:r>
                </w:p>
              </w:tc>
            </w:tr>
            <w:tr w:rsidR="00726B84" w:rsidRPr="00BF089E" w14:paraId="4A5E44E2" w14:textId="77777777" w:rsidTr="002679B1">
              <w:tc>
                <w:tcPr>
                  <w:tcW w:w="1710" w:type="dxa"/>
                  <w:shd w:val="clear" w:color="auto" w:fill="auto"/>
                </w:tcPr>
                <w:p w14:paraId="352693EF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n261</w:t>
                  </w:r>
                </w:p>
              </w:tc>
              <w:tc>
                <w:tcPr>
                  <w:tcW w:w="1517" w:type="dxa"/>
                  <w:shd w:val="clear" w:color="auto" w:fill="auto"/>
                  <w:vAlign w:val="bottom"/>
                </w:tcPr>
                <w:p w14:paraId="24060E4B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[-80.6]</w:t>
                  </w:r>
                </w:p>
              </w:tc>
              <w:tc>
                <w:tcPr>
                  <w:tcW w:w="1971" w:type="dxa"/>
                  <w:shd w:val="clear" w:color="auto" w:fill="auto"/>
                  <w:vAlign w:val="bottom"/>
                </w:tcPr>
                <w:p w14:paraId="175F1E41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[-77.6]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37185045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[-74.6]</w:t>
                  </w:r>
                </w:p>
              </w:tc>
              <w:tc>
                <w:tcPr>
                  <w:tcW w:w="1553" w:type="dxa"/>
                  <w:shd w:val="clear" w:color="auto" w:fill="auto"/>
                  <w:vAlign w:val="bottom"/>
                </w:tcPr>
                <w:p w14:paraId="3ACC4ACC" w14:textId="77777777" w:rsidR="00726B84" w:rsidRPr="00BF089E" w:rsidRDefault="00726B84" w:rsidP="002679B1">
                  <w:pPr>
                    <w:keepNext/>
                    <w:keepLines/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lang w:val="zh-CN"/>
                    </w:rPr>
                  </w:pPr>
                  <w:r w:rsidRPr="00BF089E">
                    <w:rPr>
                      <w:rFonts w:ascii="Times New Roman" w:hAnsi="Times New Roman" w:cs="Times New Roman"/>
                      <w:sz w:val="20"/>
                      <w:lang w:val="zh-CN" w:eastAsia="en-US"/>
                    </w:rPr>
                    <w:t>[-71.6]</w:t>
                  </w:r>
                </w:p>
              </w:tc>
            </w:tr>
            <w:tr w:rsidR="00726B84" w:rsidRPr="00BF089E" w14:paraId="0B21B0D1" w14:textId="77777777" w:rsidTr="002679B1">
              <w:tc>
                <w:tcPr>
                  <w:tcW w:w="8123" w:type="dxa"/>
                  <w:gridSpan w:val="5"/>
                  <w:shd w:val="clear" w:color="auto" w:fill="auto"/>
                </w:tcPr>
                <w:p w14:paraId="1D85649A" w14:textId="77777777" w:rsidR="00726B84" w:rsidRPr="00BF089E" w:rsidRDefault="00726B84" w:rsidP="002679B1">
                  <w:pPr>
                    <w:keepNext/>
                    <w:keepLines/>
                    <w:spacing w:after="0"/>
                    <w:ind w:left="851" w:hanging="851"/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  <w:t>NOTE 1:</w:t>
                  </w:r>
                  <w:r w:rsidRPr="00BF089E"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  <w:tab/>
                    <w:t>The transmitter shall be set to P</w:t>
                  </w:r>
                  <w:r w:rsidRPr="00BF089E">
                    <w:rPr>
                      <w:rFonts w:ascii="Times New Roman" w:eastAsia="Malgun Gothic" w:hAnsi="Times New Roman" w:cs="Times New Roman"/>
                      <w:sz w:val="20"/>
                      <w:vertAlign w:val="subscript"/>
                      <w:lang w:eastAsia="en-US"/>
                    </w:rPr>
                    <w:t>UMAX</w:t>
                  </w:r>
                  <w:r w:rsidRPr="00BF089E"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  <w:t xml:space="preserve"> as defined in clause 6.2.4</w:t>
                  </w:r>
                </w:p>
                <w:p w14:paraId="21711AE6" w14:textId="77777777" w:rsidR="00726B84" w:rsidRPr="00BF089E" w:rsidRDefault="00726B84" w:rsidP="002679B1">
                  <w:pPr>
                    <w:keepNext/>
                    <w:keepLines/>
                    <w:spacing w:after="0"/>
                    <w:ind w:left="851" w:hanging="851"/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</w:pPr>
                  <w:r w:rsidRPr="00BF089E"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  <w:t>NOTE 2:</w:t>
                  </w:r>
                  <w:r w:rsidRPr="00BF089E">
                    <w:rPr>
                      <w:rFonts w:ascii="Times New Roman" w:eastAsia="Malgun Gothic" w:hAnsi="Times New Roman" w:cs="Times New Roman"/>
                      <w:sz w:val="20"/>
                      <w:lang w:eastAsia="en-US"/>
                    </w:rPr>
                    <w:tab/>
                    <w:t>The EIS spherical coverage requirements are verified only under normal thermal conditions as defined in Annex E.2.1.</w:t>
                  </w:r>
                </w:p>
              </w:tc>
            </w:tr>
          </w:tbl>
          <w:p w14:paraId="2688EB70" w14:textId="77777777" w:rsidR="00726B84" w:rsidRPr="00BF089E" w:rsidRDefault="00726B84" w:rsidP="002679B1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en-US"/>
              </w:rPr>
            </w:pPr>
          </w:p>
          <w:p w14:paraId="6DBCF34A" w14:textId="77777777" w:rsidR="00726B84" w:rsidRPr="00BF089E" w:rsidRDefault="00726B84" w:rsidP="002679B1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en-US"/>
              </w:rPr>
            </w:pP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>The requirement shall be met for an uplink transmission using QPSK DFT-s-OFDM waveforms and for uplink transmission bandwidth less than or equal to that specified in Table 7.3.2.1-2.</w:t>
            </w:r>
          </w:p>
          <w:p w14:paraId="04CE424A" w14:textId="77777777" w:rsidR="00726B84" w:rsidRPr="00BF089E" w:rsidRDefault="00726B84" w:rsidP="002679B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 xml:space="preserve">Unless given by Table 7.3.2.1-3, </w:t>
            </w:r>
            <w:r w:rsidRPr="00BF089E">
              <w:rPr>
                <w:rFonts w:ascii="Times New Roman" w:eastAsia="Malgun Gothic" w:hAnsi="Times New Roman" w:cs="Times New Roman"/>
                <w:snapToGrid w:val="0"/>
                <w:sz w:val="20"/>
                <w:lang w:eastAsia="en-US"/>
              </w:rPr>
              <w:t xml:space="preserve">the minimum requirements </w:t>
            </w:r>
            <w:r w:rsidRPr="00BF089E">
              <w:rPr>
                <w:rFonts w:ascii="Times New Roman" w:eastAsia="Malgun Gothic" w:hAnsi="Times New Roman" w:cs="Times New Roman"/>
                <w:sz w:val="20"/>
                <w:lang w:eastAsia="en-US"/>
              </w:rPr>
              <w:t xml:space="preserve">for reference sensitivity </w:t>
            </w:r>
            <w:r w:rsidRPr="00BF089E">
              <w:rPr>
                <w:rFonts w:ascii="Times New Roman" w:eastAsia="Malgun Gothic" w:hAnsi="Times New Roman" w:cs="Times New Roman"/>
                <w:snapToGrid w:val="0"/>
                <w:sz w:val="20"/>
                <w:lang w:eastAsia="en-US"/>
              </w:rPr>
              <w:t xml:space="preserve">shall be verified with the network </w:t>
            </w:r>
            <w:proofErr w:type="spellStart"/>
            <w:r w:rsidRPr="00BF089E">
              <w:rPr>
                <w:rFonts w:ascii="Times New Roman" w:eastAsia="Malgun Gothic" w:hAnsi="Times New Roman" w:cs="Times New Roman"/>
                <w:snapToGrid w:val="0"/>
                <w:sz w:val="20"/>
                <w:lang w:eastAsia="en-US"/>
              </w:rPr>
              <w:t>signalling</w:t>
            </w:r>
            <w:proofErr w:type="spellEnd"/>
            <w:r w:rsidRPr="00BF089E">
              <w:rPr>
                <w:rFonts w:ascii="Times New Roman" w:eastAsia="Malgun Gothic" w:hAnsi="Times New Roman" w:cs="Times New Roman"/>
                <w:snapToGrid w:val="0"/>
                <w:sz w:val="20"/>
                <w:lang w:eastAsia="en-US"/>
              </w:rPr>
              <w:t xml:space="preserve"> value NS_200 (Table 6.2.3-1) configured.</w:t>
            </w:r>
          </w:p>
        </w:tc>
      </w:tr>
    </w:tbl>
    <w:p w14:paraId="67CA501D" w14:textId="77777777" w:rsidR="00726B84" w:rsidRPr="00726B84" w:rsidRDefault="00726B84" w:rsidP="00726B84">
      <w:pPr>
        <w:rPr>
          <w:rFonts w:ascii="Times New Roman" w:hAnsi="Times New Roman" w:cs="Times New Roman"/>
          <w:b/>
          <w:u w:val="single"/>
          <w:lang w:eastAsia="ko-KR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  <w:bookmarkStart w:id="0" w:name="_GoBack"/>
      <w:bookmarkEnd w:id="0"/>
    </w:p>
    <w:p w14:paraId="31425EDC" w14:textId="7B64F973" w:rsidR="002F717D" w:rsidRDefault="00E32ACD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F572AC">
        <w:rPr>
          <w:rFonts w:ascii="Times New Roman" w:hAnsi="Times New Roman" w:cs="Times New Roman"/>
          <w:sz w:val="20"/>
          <w:szCs w:val="20"/>
        </w:rPr>
        <w:t>[1] R4-2</w:t>
      </w:r>
      <w:r w:rsidR="00DC5321">
        <w:rPr>
          <w:rFonts w:ascii="Times New Roman" w:hAnsi="Times New Roman" w:cs="Times New Roman"/>
          <w:sz w:val="20"/>
          <w:szCs w:val="20"/>
        </w:rPr>
        <w:t>20</w:t>
      </w:r>
      <w:r w:rsidR="00726B84">
        <w:rPr>
          <w:rFonts w:ascii="Times New Roman" w:hAnsi="Times New Roman" w:cs="Times New Roman"/>
          <w:sz w:val="20"/>
          <w:szCs w:val="20"/>
        </w:rPr>
        <w:t>6</w:t>
      </w:r>
      <w:r w:rsidR="00891DE6">
        <w:rPr>
          <w:rFonts w:ascii="Times New Roman" w:hAnsi="Times New Roman" w:cs="Times New Roman"/>
          <w:sz w:val="20"/>
          <w:szCs w:val="20"/>
        </w:rPr>
        <w:t>3</w:t>
      </w:r>
      <w:r w:rsidR="00726B84">
        <w:rPr>
          <w:rFonts w:ascii="Times New Roman" w:hAnsi="Times New Roman" w:cs="Times New Roman"/>
          <w:sz w:val="20"/>
          <w:szCs w:val="20"/>
        </w:rPr>
        <w:t>29</w:t>
      </w:r>
      <w:r w:rsidRPr="00F572AC">
        <w:rPr>
          <w:rFonts w:ascii="Times New Roman" w:hAnsi="Times New Roman" w:cs="Times New Roman"/>
          <w:sz w:val="20"/>
          <w:szCs w:val="20"/>
        </w:rPr>
        <w:t>, “</w:t>
      </w:r>
      <w:r w:rsidR="00986974" w:rsidRPr="00F572AC">
        <w:rPr>
          <w:rFonts w:ascii="Times New Roman" w:hAnsi="Times New Roman" w:cs="Times New Roman"/>
          <w:sz w:val="20"/>
          <w:szCs w:val="20"/>
        </w:rPr>
        <w:t>Email discussion summary for [10</w:t>
      </w:r>
      <w:r w:rsidR="00726B84">
        <w:rPr>
          <w:rFonts w:ascii="Times New Roman" w:hAnsi="Times New Roman" w:cs="Times New Roman"/>
          <w:sz w:val="20"/>
          <w:szCs w:val="20"/>
        </w:rPr>
        <w:t>2</w:t>
      </w:r>
      <w:r w:rsidR="00986974" w:rsidRPr="00F572AC">
        <w:rPr>
          <w:rFonts w:ascii="Times New Roman" w:hAnsi="Times New Roman" w:cs="Times New Roman"/>
          <w:sz w:val="20"/>
          <w:szCs w:val="20"/>
        </w:rPr>
        <w:t>-e</w:t>
      </w:r>
      <w:proofErr w:type="gramStart"/>
      <w:r w:rsidR="00986974" w:rsidRPr="00F572AC">
        <w:rPr>
          <w:rFonts w:ascii="Times New Roman" w:hAnsi="Times New Roman" w:cs="Times New Roman"/>
          <w:sz w:val="20"/>
          <w:szCs w:val="20"/>
        </w:rPr>
        <w:t>][</w:t>
      </w:r>
      <w:proofErr w:type="gramEnd"/>
      <w:r w:rsidR="00891DE6">
        <w:rPr>
          <w:rFonts w:ascii="Times New Roman" w:hAnsi="Times New Roman" w:cs="Times New Roman"/>
          <w:sz w:val="20"/>
          <w:szCs w:val="20"/>
        </w:rPr>
        <w:t>12</w:t>
      </w:r>
      <w:r w:rsidR="00726B84">
        <w:rPr>
          <w:rFonts w:ascii="Times New Roman" w:hAnsi="Times New Roman" w:cs="Times New Roman"/>
          <w:sz w:val="20"/>
          <w:szCs w:val="20"/>
        </w:rPr>
        <w:t>9</w:t>
      </w:r>
      <w:r w:rsidR="00771E33" w:rsidRPr="00F572AC">
        <w:rPr>
          <w:rFonts w:ascii="Times New Roman" w:hAnsi="Times New Roman" w:cs="Times New Roman"/>
          <w:sz w:val="20"/>
          <w:szCs w:val="20"/>
        </w:rPr>
        <w:t>] NR</w:t>
      </w:r>
      <w:r w:rsidR="00DC5321">
        <w:rPr>
          <w:rFonts w:ascii="Times New Roman" w:hAnsi="Times New Roman" w:cs="Times New Roman"/>
          <w:sz w:val="20"/>
          <w:szCs w:val="20"/>
        </w:rPr>
        <w:t>_HST_FR2</w:t>
      </w:r>
      <w:r w:rsidRPr="00F572AC">
        <w:rPr>
          <w:rFonts w:ascii="Times New Roman" w:hAnsi="Times New Roman" w:cs="Times New Roman"/>
          <w:sz w:val="20"/>
          <w:szCs w:val="20"/>
        </w:rPr>
        <w:t xml:space="preserve">”, </w:t>
      </w:r>
      <w:r w:rsidR="00DC5321">
        <w:rPr>
          <w:rFonts w:ascii="Times New Roman" w:hAnsi="Times New Roman" w:cs="Times New Roman"/>
          <w:sz w:val="20"/>
          <w:szCs w:val="20"/>
        </w:rPr>
        <w:t>Samsung</w:t>
      </w:r>
    </w:p>
    <w:p w14:paraId="37091F00" w14:textId="77777777" w:rsidR="00891DE6" w:rsidRPr="00F572AC" w:rsidRDefault="00891DE6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891DE6" w:rsidRPr="00F572A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386C8" w14:textId="77777777" w:rsidR="00F53AC0" w:rsidRDefault="00F53AC0">
      <w:r>
        <w:separator/>
      </w:r>
    </w:p>
  </w:endnote>
  <w:endnote w:type="continuationSeparator" w:id="0">
    <w:p w14:paraId="35DC7084" w14:textId="77777777" w:rsidR="00F53AC0" w:rsidRDefault="00F5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22700DF5" w:rsidR="00DF0267" w:rsidRDefault="00DF02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F089E">
      <w:t>2</w:t>
    </w:r>
    <w:r>
      <w:fldChar w:fldCharType="end"/>
    </w:r>
  </w:p>
  <w:p w14:paraId="645DF157" w14:textId="77777777" w:rsidR="00DF0267" w:rsidRDefault="00DF02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ED648" w14:textId="77777777" w:rsidR="00F53AC0" w:rsidRDefault="00F53AC0">
      <w:r>
        <w:separator/>
      </w:r>
    </w:p>
  </w:footnote>
  <w:footnote w:type="continuationSeparator" w:id="0">
    <w:p w14:paraId="21FDE6E1" w14:textId="77777777" w:rsidR="00F53AC0" w:rsidRDefault="00F53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DF0267" w:rsidRDefault="00DF02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A40A1"/>
    <w:multiLevelType w:val="multilevel"/>
    <w:tmpl w:val="075A40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92B2D"/>
    <w:multiLevelType w:val="hybridMultilevel"/>
    <w:tmpl w:val="8ECA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8087A"/>
    <w:multiLevelType w:val="hybridMultilevel"/>
    <w:tmpl w:val="DAC411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E2078"/>
    <w:multiLevelType w:val="hybridMultilevel"/>
    <w:tmpl w:val="C61CA256"/>
    <w:lvl w:ilvl="0" w:tplc="3190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22C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E4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29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3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6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F62A84"/>
    <w:multiLevelType w:val="multilevel"/>
    <w:tmpl w:val="45F62A84"/>
    <w:lvl w:ilvl="0">
      <w:start w:val="1"/>
      <w:numFmt w:val="bullet"/>
      <w:lvlText w:val="–"/>
      <w:lvlJc w:val="left"/>
      <w:pPr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6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7" w15:restartNumberingAfterBreak="0">
    <w:nsid w:val="486A52AD"/>
    <w:multiLevelType w:val="hybridMultilevel"/>
    <w:tmpl w:val="FBCA01C0"/>
    <w:lvl w:ilvl="0" w:tplc="638E9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82B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E8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E9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A2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82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E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C4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DE4C5A"/>
    <w:multiLevelType w:val="hybridMultilevel"/>
    <w:tmpl w:val="D89C5A68"/>
    <w:lvl w:ilvl="0" w:tplc="C8B2D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F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41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F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F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65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E6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A8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E42CDD"/>
    <w:multiLevelType w:val="multilevel"/>
    <w:tmpl w:val="52E42CDD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E614F"/>
    <w:multiLevelType w:val="hybridMultilevel"/>
    <w:tmpl w:val="1998568E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DA602AF8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DF126FFE">
      <w:numFmt w:val="bullet"/>
      <w:lvlText w:val="-"/>
      <w:lvlJc w:val="left"/>
      <w:pPr>
        <w:ind w:left="3740" w:hanging="360"/>
      </w:pPr>
      <w:rPr>
        <w:rFonts w:ascii="Times New Roman" w:eastAsiaTheme="minorEastAsia" w:hAnsi="Times New Roman" w:cs="Times New Roman" w:hint="default"/>
      </w:rPr>
    </w:lvl>
    <w:lvl w:ilvl="5" w:tplc="CBB0D1B6">
      <w:numFmt w:val="bullet"/>
      <w:lvlText w:val=""/>
      <w:lvlJc w:val="left"/>
      <w:pPr>
        <w:ind w:left="4460" w:hanging="360"/>
      </w:pPr>
      <w:rPr>
        <w:rFonts w:ascii="Wingdings" w:eastAsiaTheme="minorEastAsia" w:hAnsi="Wingdings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2758CB"/>
    <w:multiLevelType w:val="hybridMultilevel"/>
    <w:tmpl w:val="759C63E0"/>
    <w:lvl w:ilvl="0" w:tplc="0DF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A0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F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80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41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A8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8A5A64"/>
    <w:multiLevelType w:val="multilevel"/>
    <w:tmpl w:val="F65CC040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i/>
        <w:lang w:val="en-GB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561AD"/>
    <w:multiLevelType w:val="hybridMultilevel"/>
    <w:tmpl w:val="F55A21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A27996"/>
    <w:multiLevelType w:val="hybridMultilevel"/>
    <w:tmpl w:val="8FF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AE4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C48F1"/>
    <w:multiLevelType w:val="hybridMultilevel"/>
    <w:tmpl w:val="2CAE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4855DB"/>
    <w:multiLevelType w:val="hybridMultilevel"/>
    <w:tmpl w:val="30A0B508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2F7D50"/>
    <w:multiLevelType w:val="hybridMultilevel"/>
    <w:tmpl w:val="934EAFC0"/>
    <w:lvl w:ilvl="0" w:tplc="E87C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C5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27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60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0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28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8636A7"/>
    <w:multiLevelType w:val="hybridMultilevel"/>
    <w:tmpl w:val="D9C02DC4"/>
    <w:lvl w:ilvl="0" w:tplc="44E42C6E">
      <w:start w:val="9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64841"/>
    <w:multiLevelType w:val="hybridMultilevel"/>
    <w:tmpl w:val="51D8614E"/>
    <w:lvl w:ilvl="0" w:tplc="8B1E5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A8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40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4E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F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66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10"/>
  </w:num>
  <w:num w:numId="3">
    <w:abstractNumId w:val="4"/>
  </w:num>
  <w:num w:numId="4">
    <w:abstractNumId w:val="25"/>
  </w:num>
  <w:num w:numId="5">
    <w:abstractNumId w:val="21"/>
  </w:num>
  <w:num w:numId="6">
    <w:abstractNumId w:val="20"/>
  </w:num>
  <w:num w:numId="7">
    <w:abstractNumId w:val="14"/>
  </w:num>
  <w:num w:numId="8">
    <w:abstractNumId w:val="19"/>
  </w:num>
  <w:num w:numId="9">
    <w:abstractNumId w:val="22"/>
  </w:num>
  <w:num w:numId="10">
    <w:abstractNumId w:val="12"/>
  </w:num>
  <w:num w:numId="11">
    <w:abstractNumId w:val="23"/>
  </w:num>
  <w:num w:numId="12">
    <w:abstractNumId w:val="15"/>
  </w:num>
  <w:num w:numId="13">
    <w:abstractNumId w:val="17"/>
  </w:num>
  <w:num w:numId="14">
    <w:abstractNumId w:val="5"/>
  </w:num>
  <w:num w:numId="15">
    <w:abstractNumId w:val="13"/>
  </w:num>
  <w:num w:numId="16">
    <w:abstractNumId w:val="1"/>
  </w:num>
  <w:num w:numId="17">
    <w:abstractNumId w:val="16"/>
  </w:num>
  <w:num w:numId="18">
    <w:abstractNumId w:val="6"/>
  </w:num>
  <w:num w:numId="19">
    <w:abstractNumId w:val="8"/>
  </w:num>
  <w:num w:numId="20">
    <w:abstractNumId w:val="7"/>
  </w:num>
  <w:num w:numId="21">
    <w:abstractNumId w:val="0"/>
  </w:num>
  <w:num w:numId="22">
    <w:abstractNumId w:val="11"/>
  </w:num>
  <w:num w:numId="23">
    <w:abstractNumId w:val="3"/>
  </w:num>
  <w:num w:numId="24">
    <w:abstractNumId w:val="18"/>
  </w:num>
  <w:num w:numId="25">
    <w:abstractNumId w:val="9"/>
  </w:num>
  <w:num w:numId="26">
    <w:abstractNumId w:val="24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bordersDoNotSurroundHeader/>
  <w:bordersDoNotSurroundFooter/>
  <w:proofState w:spelling="clean" w:grammar="clean"/>
  <w:linkStyles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tbQwNzc1sjS0NDRS0lEKTi0uzszPAykwrAUA1c5BQS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5812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0D3D"/>
    <w:rsid w:val="00021E05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AFD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2B5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9BA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B47"/>
    <w:rsid w:val="00115E56"/>
    <w:rsid w:val="00115EC3"/>
    <w:rsid w:val="001168B7"/>
    <w:rsid w:val="001168DF"/>
    <w:rsid w:val="0011692D"/>
    <w:rsid w:val="00116978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1E7B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233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AF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DDE"/>
    <w:rsid w:val="00212E05"/>
    <w:rsid w:val="00212E27"/>
    <w:rsid w:val="00212E5B"/>
    <w:rsid w:val="00212EC8"/>
    <w:rsid w:val="00212F28"/>
    <w:rsid w:val="00213223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3C1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49E5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87D83"/>
    <w:rsid w:val="002903EE"/>
    <w:rsid w:val="002912EA"/>
    <w:rsid w:val="002917ED"/>
    <w:rsid w:val="002921A0"/>
    <w:rsid w:val="00292710"/>
    <w:rsid w:val="00292DFB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97CBF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B6E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8AF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19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474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5DF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21A"/>
    <w:rsid w:val="00303872"/>
    <w:rsid w:val="00303E1B"/>
    <w:rsid w:val="00303F82"/>
    <w:rsid w:val="0030434B"/>
    <w:rsid w:val="00304C58"/>
    <w:rsid w:val="00304E72"/>
    <w:rsid w:val="00304F44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AD1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6C82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DF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C0C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01A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169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26F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2C4F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D35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4C0"/>
    <w:rsid w:val="004639CD"/>
    <w:rsid w:val="00464FB6"/>
    <w:rsid w:val="00465337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2BC5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5B27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3EB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7F8"/>
    <w:rsid w:val="005418A7"/>
    <w:rsid w:val="00542340"/>
    <w:rsid w:val="00542915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4FC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27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598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7F1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8D1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336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53E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5C1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871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702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0C2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B97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72B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4D76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367"/>
    <w:rsid w:val="006F4BE4"/>
    <w:rsid w:val="006F5281"/>
    <w:rsid w:val="006F5409"/>
    <w:rsid w:val="006F5D0D"/>
    <w:rsid w:val="007016D4"/>
    <w:rsid w:val="00701A77"/>
    <w:rsid w:val="00702207"/>
    <w:rsid w:val="00702C1E"/>
    <w:rsid w:val="00702D81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07E25"/>
    <w:rsid w:val="0071027D"/>
    <w:rsid w:val="007108C6"/>
    <w:rsid w:val="00710D62"/>
    <w:rsid w:val="00710E9C"/>
    <w:rsid w:val="00711010"/>
    <w:rsid w:val="00711098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B84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2D5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95D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1E33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568F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225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749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2B0F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9C7"/>
    <w:rsid w:val="00881D4F"/>
    <w:rsid w:val="00882324"/>
    <w:rsid w:val="00882888"/>
    <w:rsid w:val="00882C23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1DE6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07B8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D7DDE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3BBB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6D9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47E4D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2C3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3EB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1AD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567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6DCF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634D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965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32B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F9B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70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113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639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446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76F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089E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6EB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C05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192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0B9A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B71F8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9D3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0A4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4CA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2F5A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1E6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1C01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28C4"/>
    <w:rsid w:val="00DA3094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4EB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2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DCA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267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619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3A3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3DF9"/>
    <w:rsid w:val="00E34305"/>
    <w:rsid w:val="00E34385"/>
    <w:rsid w:val="00E34567"/>
    <w:rsid w:val="00E34D4D"/>
    <w:rsid w:val="00E35275"/>
    <w:rsid w:val="00E35C0B"/>
    <w:rsid w:val="00E36844"/>
    <w:rsid w:val="00E36A8F"/>
    <w:rsid w:val="00E3742C"/>
    <w:rsid w:val="00E37827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CF0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3EC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0AA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0CA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AC0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2AC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15E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B3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docId w15:val="{29F7F3B0-41A9-474A-A7F8-A024AB44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21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32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321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qFormat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qFormat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7B63A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021E0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21E05"/>
    <w:rPr>
      <w:rFonts w:ascii="Arial" w:hAnsi="Arial"/>
      <w:sz w:val="36"/>
      <w:lang w:val="en-GB"/>
    </w:rPr>
  </w:style>
  <w:style w:type="table" w:customStyle="1" w:styleId="TableGrid2">
    <w:name w:val="Table Grid2"/>
    <w:basedOn w:val="TableNormal"/>
    <w:next w:val="TableGrid"/>
    <w:uiPriority w:val="39"/>
    <w:qFormat/>
    <w:rsid w:val="00A015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FB11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DF02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6D81F20-1A18-463D-9A1A-76A6B98E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2022-01-24T14:09:00Z</dcterms:created>
  <dcterms:modified xsi:type="dcterms:W3CDTF">2022-03-01T06:03:00Z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</Properties>
</file>